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A4D96" w14:textId="6E9E7535" w:rsidR="00EA086C" w:rsidRDefault="00EA086C" w:rsidP="00EA086C">
      <w:pPr>
        <w:shd w:val="clear" w:color="auto" w:fill="FFFFFF"/>
        <w:rPr>
          <w:b/>
          <w:bCs/>
          <w:color w:val="000000"/>
          <w:sz w:val="21"/>
          <w:szCs w:val="21"/>
          <w:lang w:eastAsia="en-AU"/>
        </w:rPr>
      </w:pPr>
      <w:r w:rsidRPr="00EA086C">
        <w:rPr>
          <w:b/>
          <w:bCs/>
          <w:color w:val="000000"/>
          <w:sz w:val="21"/>
          <w:szCs w:val="21"/>
          <w:lang w:eastAsia="en-AU"/>
        </w:rPr>
        <w:t>RE- 215-2020 - New import permit requirements for apiaceous vegetable seed species commencing from 30 March 2021</w:t>
      </w:r>
    </w:p>
    <w:p w14:paraId="5DCBF731" w14:textId="616CB323" w:rsidR="00EA086C" w:rsidRDefault="00EA086C" w:rsidP="00EA086C">
      <w:pPr>
        <w:shd w:val="clear" w:color="auto" w:fill="FFFFFF"/>
        <w:rPr>
          <w:color w:val="000000"/>
          <w:sz w:val="21"/>
          <w:szCs w:val="21"/>
          <w:lang w:eastAsia="en-AU"/>
        </w:rPr>
      </w:pPr>
      <w:r>
        <w:rPr>
          <w:b/>
          <w:bCs/>
          <w:color w:val="000000"/>
          <w:sz w:val="21"/>
          <w:szCs w:val="21"/>
          <w:lang w:eastAsia="en-AU"/>
        </w:rPr>
        <w:t>Figure 1.</w:t>
      </w:r>
      <w:r>
        <w:rPr>
          <w:color w:val="000000"/>
          <w:sz w:val="21"/>
          <w:szCs w:val="21"/>
          <w:lang w:eastAsia="en-AU"/>
        </w:rPr>
        <w:t> Implementation timeframes for import permit introductions for apiaceous seed species including </w:t>
      </w:r>
      <w:r>
        <w:rPr>
          <w:i/>
          <w:iCs/>
          <w:color w:val="000000"/>
          <w:sz w:val="21"/>
          <w:szCs w:val="21"/>
          <w:lang w:eastAsia="en-AU"/>
        </w:rPr>
        <w:t>Anthriscus cerefolium</w:t>
      </w:r>
      <w:r>
        <w:rPr>
          <w:color w:val="000000"/>
          <w:sz w:val="21"/>
          <w:szCs w:val="21"/>
          <w:lang w:eastAsia="en-AU"/>
        </w:rPr>
        <w:t> (chervil), </w:t>
      </w:r>
      <w:r>
        <w:rPr>
          <w:i/>
          <w:iCs/>
          <w:color w:val="000000"/>
          <w:sz w:val="21"/>
          <w:szCs w:val="21"/>
          <w:lang w:eastAsia="en-AU"/>
        </w:rPr>
        <w:t>Apium graveolens</w:t>
      </w:r>
      <w:r>
        <w:rPr>
          <w:color w:val="000000"/>
          <w:sz w:val="21"/>
          <w:szCs w:val="21"/>
          <w:lang w:eastAsia="en-AU"/>
        </w:rPr>
        <w:t> (celery), </w:t>
      </w:r>
      <w:r>
        <w:rPr>
          <w:i/>
          <w:iCs/>
          <w:color w:val="000000"/>
          <w:sz w:val="21"/>
          <w:szCs w:val="21"/>
          <w:lang w:eastAsia="en-AU"/>
        </w:rPr>
        <w:t>Foeniculum vulgare</w:t>
      </w:r>
      <w:r>
        <w:rPr>
          <w:color w:val="000000"/>
          <w:sz w:val="21"/>
          <w:szCs w:val="21"/>
          <w:lang w:eastAsia="en-AU"/>
        </w:rPr>
        <w:t> (fennel), </w:t>
      </w:r>
      <w:r>
        <w:rPr>
          <w:i/>
          <w:iCs/>
          <w:color w:val="000000"/>
          <w:sz w:val="21"/>
          <w:szCs w:val="21"/>
          <w:lang w:eastAsia="en-AU"/>
        </w:rPr>
        <w:t>Pastinaca sativa</w:t>
      </w:r>
      <w:r>
        <w:rPr>
          <w:color w:val="000000"/>
          <w:sz w:val="21"/>
          <w:szCs w:val="21"/>
          <w:lang w:eastAsia="en-AU"/>
        </w:rPr>
        <w:t> (parsnip) and </w:t>
      </w:r>
      <w:r>
        <w:rPr>
          <w:i/>
          <w:iCs/>
          <w:color w:val="000000"/>
          <w:sz w:val="21"/>
          <w:szCs w:val="21"/>
          <w:lang w:eastAsia="en-AU"/>
        </w:rPr>
        <w:t>Petroselinum crispum</w:t>
      </w:r>
      <w:r>
        <w:rPr>
          <w:color w:val="000000"/>
          <w:sz w:val="21"/>
          <w:szCs w:val="21"/>
          <w:lang w:eastAsia="en-AU"/>
        </w:rPr>
        <w:t> (parsley), for consumption and sowing.</w:t>
      </w:r>
    </w:p>
    <w:p w14:paraId="1445ABE9" w14:textId="500362DF" w:rsidR="00F03747" w:rsidRDefault="00EA086C">
      <w:r>
        <w:rPr>
          <w:noProof/>
          <w:color w:val="6A4061"/>
          <w:lang w:eastAsia="en-AU"/>
        </w:rPr>
        <w:drawing>
          <wp:inline distT="0" distB="0" distL="0" distR="0" wp14:anchorId="0F87CA89" wp14:editId="185D6D97">
            <wp:extent cx="5731510" cy="1187450"/>
            <wp:effectExtent l="0" t="0" r="2540" b="12700"/>
            <wp:docPr id="1" name="Picture 1" descr="blan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ank"/>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31510" cy="1187450"/>
                    </a:xfrm>
                    <a:prstGeom prst="rect">
                      <a:avLst/>
                    </a:prstGeom>
                    <a:noFill/>
                    <a:ln>
                      <a:noFill/>
                    </a:ln>
                  </pic:spPr>
                </pic:pic>
              </a:graphicData>
            </a:graphic>
          </wp:inline>
        </w:drawing>
      </w:r>
    </w:p>
    <w:p w14:paraId="2CF4DF27" w14:textId="4921A25A" w:rsidR="00EA086C" w:rsidRDefault="00EA086C"/>
    <w:p w14:paraId="7F83F4D1" w14:textId="77777777" w:rsidR="00EA086C" w:rsidRDefault="00EA086C" w:rsidP="00EA086C">
      <w:pPr>
        <w:shd w:val="clear" w:color="auto" w:fill="FFFFFF"/>
        <w:spacing w:after="192"/>
        <w:rPr>
          <w:color w:val="000000"/>
          <w:sz w:val="21"/>
          <w:szCs w:val="21"/>
          <w:lang w:eastAsia="en-AU"/>
        </w:rPr>
      </w:pPr>
      <w:r>
        <w:rPr>
          <w:color w:val="000000"/>
          <w:sz w:val="21"/>
          <w:szCs w:val="21"/>
          <w:lang w:eastAsia="en-AU"/>
        </w:rPr>
        <w:t>Please note:</w:t>
      </w:r>
    </w:p>
    <w:p w14:paraId="0453E400" w14:textId="77777777" w:rsidR="00EA086C" w:rsidRDefault="00EA086C" w:rsidP="00EA086C">
      <w:pPr>
        <w:numPr>
          <w:ilvl w:val="0"/>
          <w:numId w:val="1"/>
        </w:numPr>
        <w:shd w:val="clear" w:color="auto" w:fill="FFFFFF"/>
        <w:spacing w:before="100" w:beforeAutospacing="1" w:after="100" w:afterAutospacing="1" w:line="240" w:lineRule="auto"/>
        <w:rPr>
          <w:rFonts w:eastAsia="Times New Roman"/>
          <w:color w:val="000000"/>
          <w:sz w:val="21"/>
          <w:szCs w:val="21"/>
          <w:lang w:eastAsia="en-AU"/>
        </w:rPr>
      </w:pPr>
      <w:r>
        <w:rPr>
          <w:rFonts w:eastAsia="Times New Roman"/>
          <w:color w:val="000000"/>
          <w:sz w:val="21"/>
          <w:szCs w:val="21"/>
          <w:lang w:eastAsia="en-AU"/>
        </w:rPr>
        <w:t>Consignments that arrive in Australian territory prior to 30 March 2021 will be permitted entry without an import permit.</w:t>
      </w:r>
    </w:p>
    <w:p w14:paraId="215E8109" w14:textId="77777777" w:rsidR="00EA086C" w:rsidRDefault="00EA086C" w:rsidP="00EA086C">
      <w:pPr>
        <w:numPr>
          <w:ilvl w:val="0"/>
          <w:numId w:val="1"/>
        </w:numPr>
        <w:shd w:val="clear" w:color="auto" w:fill="FFFFFF"/>
        <w:spacing w:before="100" w:beforeAutospacing="1" w:after="100" w:afterAutospacing="1" w:line="240" w:lineRule="auto"/>
        <w:rPr>
          <w:rFonts w:eastAsia="Times New Roman"/>
          <w:color w:val="000000"/>
          <w:sz w:val="21"/>
          <w:szCs w:val="21"/>
          <w:lang w:eastAsia="en-AU"/>
        </w:rPr>
      </w:pPr>
      <w:r>
        <w:rPr>
          <w:rFonts w:eastAsia="Times New Roman"/>
          <w:color w:val="000000"/>
          <w:sz w:val="21"/>
          <w:szCs w:val="21"/>
          <w:lang w:eastAsia="en-AU"/>
        </w:rPr>
        <w:t>The department will not facilitate the clearance of goods that require an import permit but arrive without one. Consignments that arrive on or after 30 March 2021 without an import permit, including scenarios where an application is currently under consideration, will be directed for export or required to be destroyed in an approved manner.</w:t>
      </w:r>
    </w:p>
    <w:p w14:paraId="2A5E1F9A" w14:textId="77777777" w:rsidR="00EA086C" w:rsidRDefault="00EA086C"/>
    <w:sectPr w:rsidR="00EA08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BD1F7D"/>
    <w:multiLevelType w:val="multilevel"/>
    <w:tmpl w:val="8B76C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86C"/>
    <w:rsid w:val="00EA086C"/>
    <w:rsid w:val="00F037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4C7A"/>
  <w15:chartTrackingRefBased/>
  <w15:docId w15:val="{214CE1E4-8613-44ED-A0C3-FA93E08D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8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39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jpg@01D6D2D8.E79AA9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agriculture.gov.au/sites/default/files/images/filename.typ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Veal</dc:creator>
  <cp:keywords/>
  <dc:description/>
  <cp:lastModifiedBy>Melinda Veal</cp:lastModifiedBy>
  <cp:revision>1</cp:revision>
  <dcterms:created xsi:type="dcterms:W3CDTF">2020-12-15T02:11:00Z</dcterms:created>
  <dcterms:modified xsi:type="dcterms:W3CDTF">2020-12-15T02:14:00Z</dcterms:modified>
</cp:coreProperties>
</file>